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4BF0597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2025-10-14T08:45:12Z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0039C63B4F0D4ACA966EA7241EDE1E60_13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